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i w:val="1"/>
        </w:rPr>
      </w:pPr>
      <w:r w:rsidDel="00000000" w:rsidR="00000000" w:rsidRPr="00000000">
        <w:rPr>
          <w:i w:val="1"/>
          <w:rtl w:val="0"/>
        </w:rPr>
        <w:t xml:space="preserve">Email #1 through partners, to customers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Subject</w:t>
      </w:r>
      <w:r w:rsidDel="00000000" w:rsidR="00000000" w:rsidRPr="00000000">
        <w:rPr>
          <w:rtl w:val="0"/>
        </w:rPr>
        <w:t xml:space="preserve">: Now Available: Nessus Expert!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Copy</w:t>
      </w:r>
      <w:r w:rsidDel="00000000" w:rsidR="00000000" w:rsidRPr="00000000">
        <w:rPr>
          <w:rtl w:val="0"/>
        </w:rPr>
        <w:t xml:space="preserv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For years, Nessus Professional has been the most recognized and trusted vulnerability scanner in the industry.</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hyperlink r:id="rId6">
        <w:r w:rsidDel="00000000" w:rsidR="00000000" w:rsidRPr="00000000">
          <w:rPr>
            <w:color w:val="1155cc"/>
            <w:u w:val="single"/>
            <w:rtl w:val="0"/>
          </w:rPr>
          <w:t xml:space="preserve">Tenable just released Nessus Expert</w:t>
        </w:r>
      </w:hyperlink>
      <w:r w:rsidDel="00000000" w:rsidR="00000000" w:rsidRPr="00000000">
        <w:rPr>
          <w:rtl w:val="0"/>
        </w:rPr>
        <w:t xml:space="preserve"> which builds upon that legacy by becoming the first vulnerability assessment solution for visibility across the modern day attack surface.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Using Nessus Expert, you can take advantage of the industry’s most trusted vulnerability assessment solution and assess all areas of the modern attack surface, ranging from your traditional IT infrastructure to newfound areas of risk in deploying Infrastructure as Code and your external attack surface.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Download the </w:t>
      </w:r>
      <w:hyperlink r:id="rId7">
        <w:r w:rsidDel="00000000" w:rsidR="00000000" w:rsidRPr="00000000">
          <w:rPr>
            <w:color w:val="1155cc"/>
            <w:u w:val="single"/>
            <w:rtl w:val="0"/>
          </w:rPr>
          <w:t xml:space="preserve">data sheet</w:t>
        </w:r>
      </w:hyperlink>
      <w:r w:rsidDel="00000000" w:rsidR="00000000" w:rsidRPr="00000000">
        <w:rPr>
          <w:rtl w:val="0"/>
        </w:rPr>
        <w:t xml:space="preserve"> to learn more.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tenable.com/press-releases/tenable-introduces-nessus-expert-with-easm-and-cloud-security-capabilities" TargetMode="External"/><Relationship Id="rId7" Type="http://schemas.openxmlformats.org/officeDocument/2006/relationships/hyperlink" Target="https://www.tenable.com/data-sheets/nessus-expe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